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A4F6" w14:textId="6763A54E" w:rsidR="00394C2E" w:rsidRDefault="00320659" w:rsidP="00320659">
      <w:pPr>
        <w:jc w:val="center"/>
        <w:rPr>
          <w:b/>
          <w:bCs/>
        </w:rPr>
      </w:pPr>
      <w:r>
        <w:rPr>
          <w:b/>
          <w:bCs/>
        </w:rPr>
        <w:t>SUMMARY: LEGAL OPINION ON JOINT RESEARCH AND SETTING INDUSTRY STANDARDS</w:t>
      </w:r>
    </w:p>
    <w:p w14:paraId="74C9A1FC" w14:textId="76583C07" w:rsidR="00320659" w:rsidRDefault="00320659" w:rsidP="00320659">
      <w:pPr>
        <w:jc w:val="center"/>
        <w:rPr>
          <w:b/>
          <w:bCs/>
        </w:rPr>
      </w:pPr>
    </w:p>
    <w:p w14:paraId="3203BF92" w14:textId="498B691B" w:rsidR="00320659" w:rsidRPr="000B0CFE" w:rsidRDefault="00320659" w:rsidP="00320659">
      <w:pPr>
        <w:rPr>
          <w:rFonts w:cstheme="minorHAnsi"/>
          <w:b/>
          <w:bCs/>
          <w:sz w:val="24"/>
          <w:szCs w:val="24"/>
        </w:rPr>
      </w:pPr>
      <w:r w:rsidRPr="000B0CFE">
        <w:rPr>
          <w:rFonts w:cstheme="minorHAnsi"/>
          <w:b/>
          <w:bCs/>
          <w:sz w:val="24"/>
          <w:szCs w:val="24"/>
        </w:rPr>
        <w:t>Question: Does the competition Act allow industry bodies to do joint research and to set industry standards and criteria?</w:t>
      </w:r>
    </w:p>
    <w:p w14:paraId="044C1AFC" w14:textId="51410266" w:rsidR="00320659" w:rsidRPr="000B0CFE" w:rsidRDefault="000B0CFE" w:rsidP="00320659">
      <w:pPr>
        <w:rPr>
          <w:rFonts w:cstheme="minorHAnsi"/>
          <w:b/>
          <w:bCs/>
          <w:sz w:val="24"/>
          <w:szCs w:val="24"/>
        </w:rPr>
      </w:pPr>
      <w:r w:rsidRPr="000B0CFE">
        <w:rPr>
          <w:rFonts w:cstheme="minorHAnsi"/>
          <w:b/>
          <w:bCs/>
          <w:sz w:val="24"/>
          <w:szCs w:val="24"/>
        </w:rPr>
        <w:t>Background</w:t>
      </w:r>
    </w:p>
    <w:p w14:paraId="7135A35F" w14:textId="1FDDD2ED" w:rsidR="00320659" w:rsidRDefault="000B0CFE" w:rsidP="00320659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The grain storage industry, specifically in relation to malting barley, wishes to enter into discussions</w:t>
      </w:r>
      <w:r w:rsidRPr="000B0CFE"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as an industry with AB InBev regarding certain aspects pertaining to the storage and off-take of</w:t>
      </w:r>
      <w:r w:rsidRPr="000B0CFE"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malting barley.</w:t>
      </w:r>
      <w:r w:rsidRPr="000B0CFE"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Agbiz Grain, wish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es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 to enter into discussions with</w:t>
      </w:r>
      <w:r w:rsidRPr="000B0CFE">
        <w:rPr>
          <w:rFonts w:cstheme="minorHAnsi"/>
          <w:color w:val="000000"/>
          <w:sz w:val="24"/>
          <w:szCs w:val="24"/>
        </w:rPr>
        <w:br/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AB InBev pertaining to national grading regulations and the AB InBev quality requirements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applied to all parties supplying malting barley, including the storage system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. The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discussions are aimed at the development of a storage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protocol and in order to limit storage related risk and financial losses, to both storage operators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AB InBev.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The ultimate aim is for </w:t>
      </w:r>
      <w:r>
        <w:rPr>
          <w:rStyle w:val="fontstyle01"/>
        </w:rPr>
        <w:t xml:space="preserve">Agbiz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Grain member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s to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 conduct joint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market research, with the co-operation of AB InBev in view of setting a fair industry standard for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parties to adopt in respect of the storage of malting barley and processes incidental thereto.</w:t>
      </w:r>
    </w:p>
    <w:p w14:paraId="1BF1A23F" w14:textId="4EC6A0C0" w:rsidR="000B0CFE" w:rsidRDefault="000B0CFE" w:rsidP="00320659">
      <w:pPr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Legal position</w:t>
      </w:r>
    </w:p>
    <w:p w14:paraId="3511CFD9" w14:textId="2974BC98" w:rsidR="000B0CFE" w:rsidRDefault="000B0CFE" w:rsidP="00320659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Information sharing arrangements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 are regulated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 in terms of section 4 of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Competition Act, </w:t>
      </w:r>
      <w:proofErr w:type="gramStart"/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i.e.</w:t>
      </w:r>
      <w:proofErr w:type="gramEnd"/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 the section that deals with restrictive horizontal practices between</w:t>
      </w:r>
      <w:r w:rsidRPr="000B0CFE">
        <w:rPr>
          <w:rFonts w:cstheme="minorHAnsi"/>
          <w:color w:val="000000"/>
          <w:sz w:val="24"/>
          <w:szCs w:val="24"/>
        </w:rPr>
        <w:br/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competitors</w:t>
      </w:r>
      <w:r w:rsidRPr="000B0CFE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Pr="000B0CFE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Section 4(1 )(a) of the Competition Act provides that, should an agreement between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parties in a horizontal relationship have the effect of substantially preventing or lessening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competition in a market, such agreement will be prohibited unless a party to the agreement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can prove that any technological, efficiency or other pro-competitive gains resulting from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that agreement outweighs that effect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7E73DE85" w14:textId="21B2659E" w:rsidR="000B0CFE" w:rsidRDefault="000B0CFE" w:rsidP="00320659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General rules regarding the exchange of information, are:</w:t>
      </w:r>
    </w:p>
    <w:p w14:paraId="58150593" w14:textId="77777777" w:rsidR="000B0CFE" w:rsidRPr="000B0CFE" w:rsidRDefault="000B0CFE" w:rsidP="000B0CF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The exchange of information with direct or potential competitors constitutes a higher risk</w:t>
      </w:r>
      <w:r w:rsidRPr="000B0CFE">
        <w:rPr>
          <w:rFonts w:cstheme="minorHAnsi"/>
          <w:color w:val="000000"/>
          <w:sz w:val="24"/>
          <w:szCs w:val="24"/>
        </w:rPr>
        <w:br/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than the exchange of information with non-</w:t>
      </w:r>
      <w:proofErr w:type="gramStart"/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competitors;</w:t>
      </w:r>
      <w:proofErr w:type="gramEnd"/>
    </w:p>
    <w:p w14:paraId="494EF89B" w14:textId="77777777" w:rsidR="000B0CFE" w:rsidRPr="000B0CFE" w:rsidRDefault="000B0CFE" w:rsidP="000B0CF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Where the information exchanged consists of price, costs, investment, general business</w:t>
      </w:r>
      <w:r w:rsidRPr="000B0CFE">
        <w:rPr>
          <w:rFonts w:cstheme="minorHAnsi"/>
          <w:color w:val="000000"/>
          <w:sz w:val="24"/>
          <w:szCs w:val="24"/>
        </w:rPr>
        <w:br/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strategy, rebates, discounts or invoice information (as opposed to process-type</w:t>
      </w:r>
      <w:r w:rsidRPr="000B0CFE">
        <w:rPr>
          <w:rFonts w:cstheme="minorHAnsi"/>
          <w:color w:val="000000"/>
          <w:sz w:val="24"/>
          <w:szCs w:val="24"/>
        </w:rPr>
        <w:br/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information), the risk is </w:t>
      </w:r>
      <w:proofErr w:type="gramStart"/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higher;</w:t>
      </w:r>
      <w:proofErr w:type="gramEnd"/>
    </w:p>
    <w:p w14:paraId="53F12B33" w14:textId="29833744" w:rsidR="000B0CFE" w:rsidRPr="00F92F1F" w:rsidRDefault="000B0CFE" w:rsidP="000B0CFE">
      <w:pPr>
        <w:pStyle w:val="ListParagraph"/>
        <w:numPr>
          <w:ilvl w:val="0"/>
          <w:numId w:val="2"/>
        </w:num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The exchange of confidential information presents a much higher risk than information in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0CFE">
        <w:rPr>
          <w:rStyle w:val="fontstyle01"/>
          <w:rFonts w:asciiTheme="minorHAnsi" w:hAnsiTheme="minorHAnsi" w:cstheme="minorHAnsi"/>
          <w:sz w:val="24"/>
          <w:szCs w:val="24"/>
        </w:rPr>
        <w:t xml:space="preserve">the public </w:t>
      </w:r>
      <w:proofErr w:type="gramStart"/>
      <w:r w:rsidRPr="000B0CFE">
        <w:rPr>
          <w:rStyle w:val="fontstyle01"/>
          <w:rFonts w:asciiTheme="minorHAnsi" w:hAnsiTheme="minorHAnsi" w:cstheme="minorHAnsi"/>
          <w:sz w:val="24"/>
          <w:szCs w:val="24"/>
        </w:rPr>
        <w:t>domain</w:t>
      </w:r>
      <w:r w:rsidR="00F92F1F">
        <w:rPr>
          <w:rStyle w:val="fontstyle01"/>
          <w:rFonts w:asciiTheme="minorHAnsi" w:hAnsiTheme="minorHAnsi" w:cstheme="minorHAnsi"/>
          <w:sz w:val="24"/>
          <w:szCs w:val="24"/>
        </w:rPr>
        <w:t>;</w:t>
      </w:r>
      <w:proofErr w:type="gramEnd"/>
    </w:p>
    <w:p w14:paraId="61E2017C" w14:textId="77777777" w:rsidR="00F92F1F" w:rsidRPr="00F92F1F" w:rsidRDefault="00F92F1F" w:rsidP="000B0CF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Where current or recent information is exchanged, this presents a higher risk than historic</w:t>
      </w:r>
      <w:r w:rsidRPr="00F92F1F">
        <w:rPr>
          <w:rFonts w:cstheme="minorHAnsi"/>
          <w:color w:val="000000"/>
          <w:sz w:val="24"/>
          <w:szCs w:val="24"/>
        </w:rPr>
        <w:br/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information; and</w:t>
      </w:r>
    </w:p>
    <w:p w14:paraId="29EBFA74" w14:textId="7756EFCB" w:rsidR="00F92F1F" w:rsidRPr="00F92F1F" w:rsidRDefault="00F92F1F" w:rsidP="000B0CFE">
      <w:pPr>
        <w:pStyle w:val="ListParagraph"/>
        <w:numPr>
          <w:ilvl w:val="0"/>
          <w:numId w:val="2"/>
        </w:num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 xml:space="preserve"> Frequent and regular exchanges of information present a higher risk than infrequent</w:t>
      </w:r>
      <w:r w:rsidRPr="00F92F1F">
        <w:rPr>
          <w:rFonts w:cstheme="minorHAnsi"/>
          <w:color w:val="000000"/>
          <w:sz w:val="24"/>
          <w:szCs w:val="24"/>
        </w:rPr>
        <w:br/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exchanges.</w:t>
      </w:r>
    </w:p>
    <w:p w14:paraId="5D3A2A6B" w14:textId="5AFADC46" w:rsidR="00F92F1F" w:rsidRDefault="00F92F1F" w:rsidP="00F92F1F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F92F1F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T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he mere exchange of information</w:t>
      </w:r>
      <w:r w:rsidRPr="00F92F1F"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between competitors is not automatically prohibited unless it has the effect of price fixing,</w:t>
      </w:r>
      <w:r w:rsidRPr="00F92F1F"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market allocation or collusive tendering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</w:p>
    <w:p w14:paraId="64E15207" w14:textId="25207E70" w:rsidR="00F92F1F" w:rsidRDefault="00F92F1F" w:rsidP="00F92F1F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rrangements that will result in the restriction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or distortion of competition on price, output, product quality, product variety or innovation, will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be problematic.</w:t>
      </w:r>
    </w:p>
    <w:p w14:paraId="6A9F53EB" w14:textId="63A073BE" w:rsidR="00F92F1F" w:rsidRDefault="00F92F1F" w:rsidP="00F92F1F">
      <w:pPr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r w:rsidRPr="00F92F1F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Conclusion</w:t>
      </w:r>
    </w:p>
    <w:p w14:paraId="1D8520D5" w14:textId="32E945F4" w:rsidR="00F92F1F" w:rsidRDefault="00F92F1F" w:rsidP="00F92F1F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T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he contemplated standardisation agreement and criteria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R&amp;D is not likely to raise any competition concerns. The parties are free to discuss and agree 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what should be accepted as a product standard across the relevant industry, provided that said</w:t>
      </w:r>
      <w:r w:rsidRPr="00F92F1F">
        <w:rPr>
          <w:rFonts w:cstheme="minorHAnsi"/>
          <w:color w:val="000000"/>
          <w:sz w:val="24"/>
          <w:szCs w:val="24"/>
        </w:rPr>
        <w:br/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discussions and agreement do not have the object, purpose or effect, either actual or potential, 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substantially lessening competition.</w:t>
      </w:r>
    </w:p>
    <w:p w14:paraId="3A2D7B7B" w14:textId="7DE6EF5A" w:rsidR="00B804A1" w:rsidRDefault="00B804A1" w:rsidP="00F92F1F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1F794F73" w14:textId="30397CBD" w:rsidR="00B804A1" w:rsidRPr="00B804A1" w:rsidRDefault="00B804A1" w:rsidP="00F92F1F">
      <w:pPr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T</w:t>
      </w:r>
      <w:r w:rsidRPr="00B804A1">
        <w:rPr>
          <w:rStyle w:val="fontstyle01"/>
          <w:rFonts w:asciiTheme="minorHAnsi" w:hAnsiTheme="minorHAnsi" w:cstheme="minorHAnsi"/>
          <w:sz w:val="24"/>
          <w:szCs w:val="24"/>
        </w:rPr>
        <w:t xml:space="preserve">he intended conduct herein will </w:t>
      </w:r>
      <w:r w:rsidRPr="00B804A1">
        <w:rPr>
          <w:rStyle w:val="fontstyle01"/>
          <w:rFonts w:asciiTheme="minorHAnsi" w:hAnsiTheme="minorHAnsi" w:cstheme="minorHAnsi"/>
          <w:sz w:val="24"/>
          <w:szCs w:val="24"/>
        </w:rPr>
        <w:t xml:space="preserve">also </w:t>
      </w:r>
      <w:r w:rsidRPr="00B804A1">
        <w:rPr>
          <w:rStyle w:val="fontstyle01"/>
          <w:rFonts w:asciiTheme="minorHAnsi" w:hAnsiTheme="minorHAnsi" w:cstheme="minorHAnsi"/>
          <w:sz w:val="24"/>
          <w:szCs w:val="24"/>
        </w:rPr>
        <w:t>not constitute cartel conduct. There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804A1">
        <w:rPr>
          <w:rStyle w:val="fontstyle01"/>
          <w:rFonts w:asciiTheme="minorHAnsi" w:hAnsiTheme="minorHAnsi" w:cstheme="minorHAnsi"/>
          <w:sz w:val="24"/>
          <w:szCs w:val="24"/>
        </w:rPr>
        <w:t>would not be a purpose or effect of price fixing arising out of the discussions and furthermore, there</w:t>
      </w:r>
      <w:r w:rsidRPr="00B804A1">
        <w:rPr>
          <w:rFonts w:cstheme="minorHAnsi"/>
          <w:color w:val="000000"/>
          <w:sz w:val="24"/>
          <w:szCs w:val="24"/>
        </w:rPr>
        <w:br/>
      </w:r>
      <w:r w:rsidRPr="00B804A1">
        <w:rPr>
          <w:rStyle w:val="fontstyle01"/>
          <w:rFonts w:asciiTheme="minorHAnsi" w:hAnsiTheme="minorHAnsi" w:cstheme="minorHAnsi"/>
          <w:sz w:val="24"/>
          <w:szCs w:val="24"/>
        </w:rPr>
        <w:t>will be no purpose of market division, restricting outputs or bid rigging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</w:p>
    <w:p w14:paraId="673E89EF" w14:textId="2151C0A0" w:rsidR="00F92F1F" w:rsidRDefault="00F92F1F" w:rsidP="00F92F1F">
      <w:pPr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Caveat</w:t>
      </w:r>
    </w:p>
    <w:p w14:paraId="58578CFF" w14:textId="493DD1A5" w:rsidR="00F92F1F" w:rsidRPr="00F92F1F" w:rsidRDefault="00F92F1F" w:rsidP="00F92F1F">
      <w:pPr>
        <w:rPr>
          <w:rFonts w:cstheme="minorHAnsi"/>
          <w:b/>
          <w:bCs/>
          <w:sz w:val="24"/>
          <w:szCs w:val="24"/>
        </w:rPr>
      </w:pP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It should be noted that the Competition Commission has published regulations specifically focussing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on buyer power. The Regulations on Buyer Power applies, amongst others, to the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agro</w:t>
      </w:r>
      <w:proofErr w:type="spellEnd"/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- processing sector specifically.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 xml:space="preserve">These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Regulations could very well be applicable to the current situation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92F1F">
        <w:rPr>
          <w:rStyle w:val="fontstyle01"/>
          <w:rFonts w:asciiTheme="minorHAnsi" w:hAnsiTheme="minorHAnsi" w:cstheme="minorHAnsi"/>
          <w:sz w:val="24"/>
          <w:szCs w:val="24"/>
        </w:rPr>
        <w:t>and this ought to be investigated in detail.</w:t>
      </w:r>
    </w:p>
    <w:sectPr w:rsidR="00F92F1F" w:rsidRPr="00F92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ED1"/>
    <w:multiLevelType w:val="hybridMultilevel"/>
    <w:tmpl w:val="2ADE06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C9B"/>
    <w:multiLevelType w:val="hybridMultilevel"/>
    <w:tmpl w:val="A0A2F8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1908">
    <w:abstractNumId w:val="0"/>
  </w:num>
  <w:num w:numId="2" w16cid:durableId="108044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2E"/>
    <w:rsid w:val="000B0CFE"/>
    <w:rsid w:val="00320659"/>
    <w:rsid w:val="00394C2E"/>
    <w:rsid w:val="00B804A1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902F6"/>
  <w15:chartTrackingRefBased/>
  <w15:docId w15:val="{4AEFCAA1-D62A-43E0-A60C-0D008B0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B0CF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0CFE"/>
    <w:pPr>
      <w:ind w:left="720"/>
      <w:contextualSpacing/>
    </w:pPr>
  </w:style>
  <w:style w:type="character" w:customStyle="1" w:styleId="fontstyle21">
    <w:name w:val="fontstyle21"/>
    <w:basedOn w:val="DefaultParagraphFont"/>
    <w:rsid w:val="00F92F1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Annelize Crosby</dc:creator>
  <cp:keywords/>
  <dc:description/>
  <cp:lastModifiedBy>Annelize Crosby</cp:lastModifiedBy>
  <cp:revision>2</cp:revision>
  <dcterms:created xsi:type="dcterms:W3CDTF">2023-01-24T12:09:00Z</dcterms:created>
  <dcterms:modified xsi:type="dcterms:W3CDTF">2023-01-24T12:09:00Z</dcterms:modified>
</cp:coreProperties>
</file>